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C82617" w:rsidRPr="00AF017A">
        <w:rPr>
          <w:rFonts w:cs="Arial"/>
          <w:sz w:val="28"/>
          <w:szCs w:val="28"/>
        </w:rPr>
        <w:t>Null Komma Acht</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C82617" w:rsidRPr="00CA4F42" w:rsidTr="00C82617">
        <w:tc>
          <w:tcPr>
            <w:tcW w:w="2466" w:type="dxa"/>
            <w:vAlign w:val="center"/>
          </w:tcPr>
          <w:p w:rsidR="00C82617" w:rsidRPr="00FE6928" w:rsidRDefault="00C82617" w:rsidP="00E73945">
            <w:pPr>
              <w:pStyle w:val="IQB-Merkmal"/>
            </w:pPr>
            <w:r w:rsidRPr="00FE6928">
              <w:t>Leitidee</w:t>
            </w:r>
          </w:p>
        </w:tc>
        <w:tc>
          <w:tcPr>
            <w:tcW w:w="6604" w:type="dxa"/>
          </w:tcPr>
          <w:p w:rsidR="00C82617" w:rsidRPr="00FE6928" w:rsidRDefault="00C82617" w:rsidP="00E73945">
            <w:pPr>
              <w:pStyle w:val="IQB-Merkmalswert"/>
            </w:pPr>
            <w:r w:rsidRPr="00FE6928">
              <w:t>1. Zahl</w:t>
            </w:r>
          </w:p>
        </w:tc>
      </w:tr>
      <w:tr w:rsidR="00C82617" w:rsidRPr="00CA4F42" w:rsidTr="00C82617">
        <w:tc>
          <w:tcPr>
            <w:tcW w:w="2466" w:type="dxa"/>
            <w:vAlign w:val="center"/>
          </w:tcPr>
          <w:p w:rsidR="00C82617" w:rsidRPr="00FE6928" w:rsidRDefault="00C82617" w:rsidP="00E73945">
            <w:pPr>
              <w:pStyle w:val="IQB-Merkmal"/>
            </w:pPr>
            <w:r w:rsidRPr="00FE6928">
              <w:t>Allgemeine Kompetenzen</w:t>
            </w:r>
          </w:p>
        </w:tc>
        <w:tc>
          <w:tcPr>
            <w:tcW w:w="6604" w:type="dxa"/>
          </w:tcPr>
          <w:p w:rsidR="00C82617" w:rsidRPr="00FE6928" w:rsidRDefault="00C82617" w:rsidP="00E73945">
            <w:pPr>
              <w:pStyle w:val="IQB-Merkmalswert"/>
            </w:pPr>
            <w:r>
              <w:t>Mit symbolischen, formalen und technischen Elementen der Mathematik umg</w:t>
            </w:r>
            <w:r>
              <w:t>e</w:t>
            </w:r>
            <w:r>
              <w:t>hen (K5)</w:t>
            </w:r>
          </w:p>
        </w:tc>
      </w:tr>
      <w:tr w:rsidR="00C82617" w:rsidRPr="00CA4F42" w:rsidTr="00C82617">
        <w:tc>
          <w:tcPr>
            <w:tcW w:w="2466" w:type="dxa"/>
            <w:vAlign w:val="center"/>
          </w:tcPr>
          <w:p w:rsidR="00C82617" w:rsidRPr="00FE6928" w:rsidRDefault="00C82617" w:rsidP="00E73945">
            <w:pPr>
              <w:pStyle w:val="IQB-Merkmal"/>
            </w:pPr>
            <w:r w:rsidRPr="00FE6928">
              <w:t>Anforderungsbereich</w:t>
            </w:r>
          </w:p>
        </w:tc>
        <w:tc>
          <w:tcPr>
            <w:tcW w:w="6604" w:type="dxa"/>
          </w:tcPr>
          <w:p w:rsidR="00C82617" w:rsidRPr="00FE6928" w:rsidRDefault="00C82617" w:rsidP="00E73945">
            <w:pPr>
              <w:pStyle w:val="IQB-Merkmalswert"/>
            </w:pPr>
            <w:r w:rsidRPr="00FE6928">
              <w:t>I</w:t>
            </w:r>
          </w:p>
        </w:tc>
      </w:tr>
      <w:tr w:rsidR="00C82617" w:rsidRPr="00CA4F42" w:rsidTr="00C82617">
        <w:tc>
          <w:tcPr>
            <w:tcW w:w="2466" w:type="dxa"/>
            <w:vAlign w:val="center"/>
          </w:tcPr>
          <w:p w:rsidR="00C82617" w:rsidRPr="00FE6928" w:rsidRDefault="00C82617" w:rsidP="00E73945">
            <w:pPr>
              <w:pStyle w:val="IQB-Merkmal"/>
            </w:pPr>
            <w:r w:rsidRPr="00FE6928">
              <w:t>Kompetenzstufe</w:t>
            </w:r>
          </w:p>
        </w:tc>
        <w:tc>
          <w:tcPr>
            <w:tcW w:w="6604" w:type="dxa"/>
          </w:tcPr>
          <w:p w:rsidR="00C82617" w:rsidRPr="00FE6928" w:rsidRDefault="00C82617" w:rsidP="00E73945">
            <w:pPr>
              <w:pStyle w:val="IQB-Merkmalswert"/>
            </w:pPr>
            <w:r w:rsidRPr="00FE6928">
              <w:t>2</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C82617" w:rsidRPr="00CA4F42" w:rsidTr="00C82617">
        <w:tc>
          <w:tcPr>
            <w:tcW w:w="2466" w:type="dxa"/>
            <w:vAlign w:val="center"/>
          </w:tcPr>
          <w:p w:rsidR="00C82617" w:rsidRPr="00FE6928" w:rsidRDefault="00C82617" w:rsidP="00E73945">
            <w:pPr>
              <w:pStyle w:val="IQB-Merkmal"/>
            </w:pPr>
            <w:r w:rsidRPr="00FE6928">
              <w:t>Leitidee</w:t>
            </w:r>
          </w:p>
        </w:tc>
        <w:tc>
          <w:tcPr>
            <w:tcW w:w="6604" w:type="dxa"/>
          </w:tcPr>
          <w:p w:rsidR="00C82617" w:rsidRPr="00FE6928" w:rsidRDefault="00C82617" w:rsidP="00E73945">
            <w:pPr>
              <w:pStyle w:val="IQB-Merkmalswert"/>
            </w:pPr>
            <w:r w:rsidRPr="00FE6928">
              <w:t>1. Zahl</w:t>
            </w:r>
          </w:p>
        </w:tc>
      </w:tr>
      <w:tr w:rsidR="00C82617" w:rsidRPr="00CA4F42" w:rsidTr="00C82617">
        <w:tc>
          <w:tcPr>
            <w:tcW w:w="2466" w:type="dxa"/>
            <w:vAlign w:val="center"/>
          </w:tcPr>
          <w:p w:rsidR="00C82617" w:rsidRPr="00FE6928" w:rsidRDefault="00C82617" w:rsidP="00E73945">
            <w:pPr>
              <w:pStyle w:val="IQB-Merkmal"/>
            </w:pPr>
            <w:r w:rsidRPr="00FE6928">
              <w:t>Allgemeine Kompetenzen</w:t>
            </w:r>
          </w:p>
        </w:tc>
        <w:tc>
          <w:tcPr>
            <w:tcW w:w="6604" w:type="dxa"/>
          </w:tcPr>
          <w:p w:rsidR="00C82617" w:rsidRPr="00FE6928" w:rsidRDefault="00C82617" w:rsidP="00E73945">
            <w:pPr>
              <w:pStyle w:val="IQB-Merkmalswert"/>
            </w:pPr>
            <w:r>
              <w:t>Mit symbolischen, formalen und technischen Elementen der Mathematik umg</w:t>
            </w:r>
            <w:r>
              <w:t>e</w:t>
            </w:r>
            <w:r>
              <w:t>hen (K5)</w:t>
            </w:r>
          </w:p>
        </w:tc>
      </w:tr>
      <w:tr w:rsidR="00C82617" w:rsidRPr="00CA4F42" w:rsidTr="00C82617">
        <w:tc>
          <w:tcPr>
            <w:tcW w:w="2466" w:type="dxa"/>
            <w:vAlign w:val="center"/>
          </w:tcPr>
          <w:p w:rsidR="00C82617" w:rsidRPr="00FE6928" w:rsidRDefault="00C82617" w:rsidP="00E73945">
            <w:pPr>
              <w:pStyle w:val="IQB-Merkmal"/>
            </w:pPr>
            <w:r w:rsidRPr="00FE6928">
              <w:t>Anforderungsbereich</w:t>
            </w:r>
          </w:p>
        </w:tc>
        <w:tc>
          <w:tcPr>
            <w:tcW w:w="6604" w:type="dxa"/>
          </w:tcPr>
          <w:p w:rsidR="00C82617" w:rsidRPr="00FE6928" w:rsidRDefault="00C82617" w:rsidP="00E73945">
            <w:pPr>
              <w:pStyle w:val="IQB-Merkmalswert"/>
            </w:pPr>
            <w:r w:rsidRPr="00FE6928">
              <w:t>I</w:t>
            </w:r>
          </w:p>
        </w:tc>
      </w:tr>
      <w:tr w:rsidR="00C82617" w:rsidRPr="00CA4F42" w:rsidTr="00C82617">
        <w:tc>
          <w:tcPr>
            <w:tcW w:w="2466" w:type="dxa"/>
            <w:vAlign w:val="center"/>
          </w:tcPr>
          <w:p w:rsidR="00C82617" w:rsidRPr="00FE6928" w:rsidRDefault="00C82617" w:rsidP="00E73945">
            <w:pPr>
              <w:pStyle w:val="IQB-Merkmal"/>
            </w:pPr>
            <w:r w:rsidRPr="00FE6928">
              <w:t>Kompetenzstufe</w:t>
            </w:r>
          </w:p>
        </w:tc>
        <w:tc>
          <w:tcPr>
            <w:tcW w:w="6604" w:type="dxa"/>
          </w:tcPr>
          <w:p w:rsidR="00C82617" w:rsidRPr="00FE6928" w:rsidRDefault="00C82617" w:rsidP="00E73945">
            <w:pPr>
              <w:pStyle w:val="IQB-Merkmalswert"/>
            </w:pPr>
            <w:r w:rsidRPr="00FE6928">
              <w:t>3</w:t>
            </w:r>
          </w:p>
        </w:tc>
      </w:tr>
    </w:tbl>
    <w:p w:rsidR="00694A63" w:rsidRPr="00694A63" w:rsidRDefault="00694A63" w:rsidP="00694A63">
      <w:pPr>
        <w:pStyle w:val="IQB-Teilaufgabentitel"/>
        <w:rPr>
          <w:b/>
        </w:rPr>
      </w:pPr>
      <w:r w:rsidRPr="00694A63">
        <w:rPr>
          <w:b/>
        </w:rPr>
        <w:t>Aufgabenbezogener Kommentar</w:t>
      </w:r>
    </w:p>
    <w:p w:rsidR="00C82617" w:rsidRPr="00CA4F42" w:rsidRDefault="00C82617" w:rsidP="00C82617">
      <w:pPr>
        <w:pStyle w:val="IQB-AnweisungenText"/>
        <w:spacing w:before="0"/>
        <w:rPr>
          <w:rFonts w:ascii="Arial" w:hAnsi="Arial"/>
          <w:sz w:val="22"/>
          <w:szCs w:val="22"/>
        </w:rPr>
      </w:pPr>
      <w:r w:rsidRPr="00CA4F42">
        <w:rPr>
          <w:rFonts w:ascii="Arial" w:hAnsi="Arial"/>
          <w:sz w:val="22"/>
          <w:szCs w:val="22"/>
        </w:rPr>
        <w:t xml:space="preserve">Die Aufgabe ist der </w:t>
      </w:r>
      <w:r w:rsidRPr="00AC3174">
        <w:rPr>
          <w:rFonts w:ascii="Arial" w:hAnsi="Arial"/>
          <w:sz w:val="22"/>
          <w:szCs w:val="22"/>
        </w:rPr>
        <w:t>Leitidee</w:t>
      </w:r>
      <w:r w:rsidRPr="00934AE1">
        <w:rPr>
          <w:rFonts w:ascii="Arial" w:hAnsi="Arial"/>
          <w:i/>
          <w:sz w:val="22"/>
          <w:szCs w:val="22"/>
        </w:rPr>
        <w:t xml:space="preserve"> Zahl</w:t>
      </w:r>
      <w:r w:rsidRPr="00CA4F42">
        <w:rPr>
          <w:rFonts w:ascii="Arial" w:hAnsi="Arial"/>
          <w:sz w:val="22"/>
          <w:szCs w:val="22"/>
        </w:rPr>
        <w:t xml:space="preserve"> (L1) zuzuordnen, da Schülerinnen und Schüler zur Lösung der Aufgabe den Zusammenhang zwischen der Rechenoperation Division und ihrer Umkehrung Multiplikation nutzen (siehe hierzu auch die allgemeinen Erläuterungen zur </w:t>
      </w:r>
      <w:r w:rsidRPr="00AC3174">
        <w:rPr>
          <w:rFonts w:ascii="Arial" w:hAnsi="Arial"/>
          <w:sz w:val="22"/>
          <w:szCs w:val="22"/>
        </w:rPr>
        <w:t>Leitidee</w:t>
      </w:r>
      <w:r w:rsidRPr="00934AE1">
        <w:rPr>
          <w:rFonts w:ascii="Arial" w:hAnsi="Arial"/>
          <w:i/>
          <w:sz w:val="22"/>
          <w:szCs w:val="22"/>
        </w:rPr>
        <w:t xml:space="preserve"> Zahl</w:t>
      </w:r>
      <w:r>
        <w:rPr>
          <w:rFonts w:ascii="Arial" w:hAnsi="Arial"/>
          <w:i/>
          <w:sz w:val="22"/>
          <w:szCs w:val="22"/>
        </w:rPr>
        <w:t xml:space="preserve"> </w:t>
      </w:r>
      <w:r w:rsidRPr="00D412D8">
        <w:rPr>
          <w:rFonts w:ascii="Arial" w:hAnsi="Arial"/>
          <w:sz w:val="22"/>
          <w:szCs w:val="22"/>
        </w:rPr>
        <w:t>in Modul B</w:t>
      </w:r>
      <w:r w:rsidRPr="00CA4F42">
        <w:rPr>
          <w:rFonts w:ascii="Arial" w:hAnsi="Arial"/>
          <w:sz w:val="22"/>
          <w:szCs w:val="22"/>
        </w:rPr>
        <w:t>). Gleichzeitig rechnen die Schülerinnen und Schüler mit natürlichen und rationalen Zahlen.</w:t>
      </w:r>
    </w:p>
    <w:p w:rsidR="00C82617" w:rsidRPr="00F66780" w:rsidRDefault="00C82617" w:rsidP="00C82617">
      <w:pPr>
        <w:pStyle w:val="IQB-AnweisungenText"/>
        <w:rPr>
          <w:rFonts w:ascii="Arial" w:hAnsi="Arial"/>
          <w:sz w:val="22"/>
          <w:szCs w:val="22"/>
        </w:rPr>
      </w:pPr>
      <w:r w:rsidRPr="00CA4F42">
        <w:rPr>
          <w:rFonts w:ascii="Arial" w:hAnsi="Arial"/>
          <w:sz w:val="22"/>
          <w:szCs w:val="22"/>
        </w:rPr>
        <w:t xml:space="preserve">In beiden Teilaufgaben wird die Kompetenz </w:t>
      </w:r>
      <w:r>
        <w:rPr>
          <w:rFonts w:ascii="Arial" w:hAnsi="Arial"/>
          <w:i/>
          <w:sz w:val="22"/>
          <w:szCs w:val="22"/>
        </w:rPr>
        <w:t>Mit symbolischen, formalen und technischen Elementen der Mathematik umgehen</w:t>
      </w:r>
      <w:r w:rsidRPr="00CA4F42">
        <w:rPr>
          <w:rFonts w:ascii="Arial" w:hAnsi="Arial"/>
          <w:sz w:val="22"/>
          <w:szCs w:val="22"/>
        </w:rPr>
        <w:t xml:space="preserve"> (K5) gefordert, da konzeptuelle Zusammenhänge zu den Operationen systematisch genutzt werden. Dabei werden nur einfache mathematische Werkzeuge genutzt, so dass beide Teilaufgaben dem Anforderungsbereich I zuzuordnen sind.</w:t>
      </w:r>
    </w:p>
    <w:p w:rsidR="00694A63" w:rsidRPr="00694A63" w:rsidRDefault="00694A63" w:rsidP="00694A63">
      <w:pPr>
        <w:pStyle w:val="IQB-Teilaufgabentitel"/>
        <w:rPr>
          <w:b/>
        </w:rPr>
      </w:pPr>
      <w:r w:rsidRPr="00694A63">
        <w:rPr>
          <w:b/>
        </w:rPr>
        <w:t>Anregungen für den Unterricht</w:t>
      </w:r>
    </w:p>
    <w:p w:rsidR="00C82617" w:rsidRDefault="00C82617" w:rsidP="00C82617">
      <w:pPr>
        <w:pStyle w:val="IQB-AnweisungenText"/>
        <w:spacing w:before="0"/>
        <w:rPr>
          <w:rFonts w:ascii="Arial" w:hAnsi="Arial"/>
          <w:sz w:val="22"/>
          <w:szCs w:val="22"/>
        </w:rPr>
      </w:pPr>
      <w:r>
        <w:rPr>
          <w:rFonts w:ascii="Arial" w:hAnsi="Arial"/>
          <w:sz w:val="22"/>
          <w:szCs w:val="22"/>
        </w:rPr>
        <w:t>Die Beschreibung unterrichtspraktischer Maßnahmen konzentriert sich hier auf den Variablenbegriff. Zunächst werden Möglichkeiten zur Beschreibung unterschiedlicher Aspekte des Variablenbegriffs vorgestellt:</w:t>
      </w:r>
    </w:p>
    <w:p w:rsidR="00C82617" w:rsidRPr="00CA4F42" w:rsidRDefault="00C82617" w:rsidP="00C82617">
      <w:pPr>
        <w:pStyle w:val="IQB-AnweisungenText"/>
        <w:spacing w:before="0"/>
        <w:rPr>
          <w:rFonts w:ascii="Arial" w:hAnsi="Arial"/>
          <w:sz w:val="22"/>
          <w:szCs w:val="22"/>
        </w:rPr>
      </w:pPr>
      <w:r w:rsidRPr="00CA4F42">
        <w:rPr>
          <w:rFonts w:ascii="Arial" w:hAnsi="Arial"/>
          <w:sz w:val="22"/>
          <w:szCs w:val="22"/>
        </w:rPr>
        <w:t>Freudenthal</w:t>
      </w:r>
      <w:r w:rsidRPr="00CA4F42">
        <w:rPr>
          <w:rStyle w:val="Funotenanker"/>
          <w:rFonts w:ascii="Arial" w:hAnsi="Arial"/>
          <w:sz w:val="22"/>
          <w:szCs w:val="22"/>
        </w:rPr>
        <w:footnoteReference w:id="1"/>
      </w:r>
      <w:r w:rsidRPr="00CA4F42">
        <w:rPr>
          <w:rFonts w:ascii="Arial" w:hAnsi="Arial"/>
          <w:sz w:val="22"/>
          <w:szCs w:val="22"/>
        </w:rPr>
        <w:t xml:space="preserve"> klassifiziert Variablen nach der Art ihrer Verwendung, bzw. nach der Frage, wofür eine Variable (in einer Aufgabe) steht. Sie kann (1) </w:t>
      </w:r>
      <w:r>
        <w:rPr>
          <w:rFonts w:ascii="Arial" w:hAnsi="Arial"/>
          <w:sz w:val="22"/>
          <w:szCs w:val="22"/>
        </w:rPr>
        <w:t>wie in dieser Aufgabe</w:t>
      </w:r>
      <w:r w:rsidRPr="00CA4F42">
        <w:rPr>
          <w:rFonts w:ascii="Arial" w:hAnsi="Arial"/>
          <w:sz w:val="22"/>
          <w:szCs w:val="22"/>
        </w:rPr>
        <w:t xml:space="preserve"> als </w:t>
      </w:r>
      <w:r w:rsidRPr="00CA4F42">
        <w:rPr>
          <w:rFonts w:ascii="Arial" w:hAnsi="Arial"/>
          <w:i/>
          <w:sz w:val="22"/>
          <w:szCs w:val="22"/>
        </w:rPr>
        <w:t>Unbekannte</w:t>
      </w:r>
      <w:r w:rsidRPr="00CA4F42">
        <w:rPr>
          <w:rFonts w:ascii="Arial" w:hAnsi="Arial"/>
          <w:sz w:val="22"/>
          <w:szCs w:val="22"/>
        </w:rPr>
        <w:t xml:space="preserve"> verwendet werden. Dabei steht die Variable für ein Objekt, das zwar unbekannt jedoch prinzipiell bestimmbar ist. Eine Variable kann (2) als </w:t>
      </w:r>
      <w:r w:rsidRPr="00CA4F42">
        <w:rPr>
          <w:rFonts w:ascii="Arial" w:hAnsi="Arial"/>
          <w:i/>
          <w:sz w:val="22"/>
          <w:szCs w:val="22"/>
        </w:rPr>
        <w:t>Unbestimmte</w:t>
      </w:r>
      <w:r w:rsidRPr="00CA4F42">
        <w:rPr>
          <w:rFonts w:ascii="Arial" w:hAnsi="Arial"/>
          <w:sz w:val="22"/>
          <w:szCs w:val="22"/>
        </w:rPr>
        <w:t xml:space="preserve"> verwendet werden. Dabei steht die Variable für ein unbekanntes Objekt, dessen Bestimmung nicht weiter von Belang ist. Dies ist </w:t>
      </w:r>
      <w:r>
        <w:rPr>
          <w:rFonts w:ascii="Arial" w:hAnsi="Arial"/>
          <w:sz w:val="22"/>
          <w:szCs w:val="22"/>
        </w:rPr>
        <w:t>z.</w:t>
      </w:r>
      <w:r w:rsidRPr="00A578AF">
        <w:rPr>
          <w:rFonts w:ascii="Arial" w:hAnsi="Arial"/>
          <w:sz w:val="12"/>
          <w:szCs w:val="12"/>
        </w:rPr>
        <w:t> </w:t>
      </w:r>
      <w:r>
        <w:rPr>
          <w:rFonts w:ascii="Arial" w:hAnsi="Arial"/>
          <w:sz w:val="22"/>
          <w:szCs w:val="22"/>
        </w:rPr>
        <w:t>B.</w:t>
      </w:r>
      <w:r w:rsidRPr="00CA4F42">
        <w:rPr>
          <w:rFonts w:ascii="Arial" w:hAnsi="Arial"/>
          <w:sz w:val="22"/>
          <w:szCs w:val="22"/>
        </w:rPr>
        <w:t xml:space="preserve"> immer dann der Fall, wenn Variablen in einer Aussage auftauchen, die stets wahr ist, unabhängig davon, welche Zahl für die Variable eingesetzt wird. Eine Variable kann schließlich (3) als </w:t>
      </w:r>
      <w:r w:rsidRPr="00CA4F42">
        <w:rPr>
          <w:rFonts w:ascii="Arial" w:hAnsi="Arial"/>
          <w:i/>
          <w:sz w:val="22"/>
          <w:szCs w:val="22"/>
        </w:rPr>
        <w:t>Veränderliche</w:t>
      </w:r>
      <w:r w:rsidRPr="00CA4F42">
        <w:rPr>
          <w:rFonts w:ascii="Arial" w:hAnsi="Arial"/>
          <w:sz w:val="22"/>
          <w:szCs w:val="22"/>
        </w:rPr>
        <w:t xml:space="preserve"> verwendet werden. Dies ist zumeist in funktionalen Zusammenhängen der Fall, in denen tatsächlich die Zahl variiert, die durch die Variable repräsentiert wird. </w:t>
      </w:r>
    </w:p>
    <w:p w:rsidR="00C82617" w:rsidRPr="00CA4F42" w:rsidRDefault="00C82617" w:rsidP="00C82617">
      <w:pPr>
        <w:pStyle w:val="IQB-AnweisungenText"/>
        <w:rPr>
          <w:rFonts w:ascii="Arial" w:hAnsi="Arial"/>
          <w:sz w:val="22"/>
          <w:szCs w:val="22"/>
        </w:rPr>
      </w:pPr>
      <w:r w:rsidRPr="00CA4F42">
        <w:rPr>
          <w:rFonts w:ascii="Arial" w:hAnsi="Arial"/>
          <w:sz w:val="22"/>
          <w:szCs w:val="22"/>
        </w:rPr>
        <w:t>Eine andere Unterscheidung von Variablen schlägt Malle</w:t>
      </w:r>
      <w:r w:rsidRPr="00CA4F42">
        <w:rPr>
          <w:rStyle w:val="Funotenanker"/>
          <w:rFonts w:ascii="Arial" w:hAnsi="Arial"/>
          <w:sz w:val="22"/>
          <w:szCs w:val="22"/>
        </w:rPr>
        <w:footnoteReference w:id="2"/>
      </w:r>
      <w:r w:rsidRPr="00CA4F42">
        <w:rPr>
          <w:rFonts w:ascii="Arial" w:hAnsi="Arial"/>
          <w:sz w:val="22"/>
          <w:szCs w:val="22"/>
        </w:rPr>
        <w:t xml:space="preserve"> vor. Er unterscheidet zunächst </w:t>
      </w:r>
      <w:r w:rsidRPr="00CA4F42">
        <w:rPr>
          <w:rFonts w:ascii="Arial" w:hAnsi="Arial"/>
          <w:i/>
          <w:sz w:val="22"/>
          <w:szCs w:val="22"/>
        </w:rPr>
        <w:t>Einzelzahl</w:t>
      </w:r>
      <w:r w:rsidRPr="00CA4F42">
        <w:rPr>
          <w:rFonts w:ascii="Arial" w:hAnsi="Arial"/>
          <w:sz w:val="22"/>
          <w:szCs w:val="22"/>
        </w:rPr>
        <w:t xml:space="preserve">- und </w:t>
      </w:r>
      <w:r w:rsidRPr="00CA4F42">
        <w:rPr>
          <w:rFonts w:ascii="Arial" w:hAnsi="Arial"/>
          <w:i/>
          <w:sz w:val="22"/>
          <w:szCs w:val="22"/>
        </w:rPr>
        <w:t>Bereichszahlaspekt</w:t>
      </w:r>
      <w:r w:rsidRPr="00CA4F42">
        <w:rPr>
          <w:rFonts w:ascii="Arial" w:hAnsi="Arial"/>
          <w:sz w:val="22"/>
          <w:szCs w:val="22"/>
        </w:rPr>
        <w:t xml:space="preserve">. Die Variable als (1) Einzelzahl bedeutet, dass man sie im Sinne Freudenthals als </w:t>
      </w:r>
      <w:r w:rsidRPr="00CA4F42">
        <w:rPr>
          <w:rFonts w:ascii="Arial" w:hAnsi="Arial"/>
          <w:i/>
          <w:sz w:val="22"/>
          <w:szCs w:val="22"/>
        </w:rPr>
        <w:t>Unbekannte</w:t>
      </w:r>
      <w:r w:rsidRPr="00CA4F42">
        <w:rPr>
          <w:rFonts w:ascii="Arial" w:hAnsi="Arial"/>
          <w:sz w:val="22"/>
          <w:szCs w:val="22"/>
        </w:rPr>
        <w:t xml:space="preserve"> verwendet. Es handelt sich dann um die Repräsentation einer beliebigen, jedoch festen Zahl aus einem bestimmten Bereich (siehe Beispiel 2). Der (2) </w:t>
      </w:r>
      <w:r w:rsidRPr="00CA4F42">
        <w:rPr>
          <w:rFonts w:ascii="Arial" w:hAnsi="Arial"/>
          <w:sz w:val="22"/>
          <w:szCs w:val="22"/>
        </w:rPr>
        <w:lastRenderedPageBreak/>
        <w:t xml:space="preserve">Bereichszahlaspekt besagt, dass nicht nur genau eine bestimmte Zahl aus einem Bereich repräsentiert wird, sondern jede Zahl des Bereichs. Dieser Aspekt tritt in zwei Varianten auf. Der (2.1) </w:t>
      </w:r>
      <w:r w:rsidRPr="00CA4F42">
        <w:rPr>
          <w:rFonts w:ascii="Arial" w:hAnsi="Arial"/>
          <w:i/>
          <w:sz w:val="22"/>
          <w:szCs w:val="22"/>
        </w:rPr>
        <w:t>Simultanaspekt</w:t>
      </w:r>
      <w:r w:rsidRPr="00CA4F42">
        <w:rPr>
          <w:rFonts w:ascii="Arial" w:hAnsi="Arial"/>
          <w:sz w:val="22"/>
          <w:szCs w:val="22"/>
        </w:rPr>
        <w:t xml:space="preserve"> tritt dann hervor, wenn alle Zahlen eines Bereichs gleichzeitig repräsentiert werden; der (2.2) </w:t>
      </w:r>
      <w:proofErr w:type="spellStart"/>
      <w:r w:rsidRPr="00CA4F42">
        <w:rPr>
          <w:rFonts w:ascii="Arial" w:hAnsi="Arial"/>
          <w:i/>
          <w:sz w:val="22"/>
          <w:szCs w:val="22"/>
        </w:rPr>
        <w:t>Veränderlichenaspekt</w:t>
      </w:r>
      <w:proofErr w:type="spellEnd"/>
      <w:r>
        <w:rPr>
          <w:rFonts w:ascii="Arial" w:hAnsi="Arial"/>
          <w:sz w:val="22"/>
          <w:szCs w:val="22"/>
        </w:rPr>
        <w:t xml:space="preserve"> </w:t>
      </w:r>
      <w:r w:rsidRPr="00CA4F42">
        <w:rPr>
          <w:rFonts w:ascii="Arial" w:hAnsi="Arial"/>
          <w:sz w:val="22"/>
          <w:szCs w:val="22"/>
        </w:rPr>
        <w:t>tritt dann hervor, wenn alle Zahlen aus einem bestimmten Bereich nicht simultan repräsentiert, sondern durchlaufen werden (siehe Beispiel 1).</w:t>
      </w:r>
    </w:p>
    <w:p w:rsidR="00C82617" w:rsidRPr="00CA4F42" w:rsidRDefault="00C82617" w:rsidP="00C82617">
      <w:pPr>
        <w:pStyle w:val="IQB-AnweisungenText"/>
        <w:spacing w:after="120"/>
        <w:rPr>
          <w:rFonts w:ascii="Arial" w:hAnsi="Arial"/>
          <w:sz w:val="22"/>
          <w:szCs w:val="22"/>
        </w:rPr>
      </w:pPr>
      <w:r w:rsidRPr="00CA4F42">
        <w:rPr>
          <w:rFonts w:ascii="Arial" w:hAnsi="Arial"/>
          <w:sz w:val="22"/>
          <w:szCs w:val="22"/>
        </w:rPr>
        <w:t>Schülerinnen und Schülern, die die allgemeine Hochschulreife anstre</w:t>
      </w:r>
      <w:r>
        <w:rPr>
          <w:rFonts w:ascii="Arial" w:hAnsi="Arial"/>
          <w:sz w:val="22"/>
          <w:szCs w:val="22"/>
        </w:rPr>
        <w:t xml:space="preserve">ben, </w:t>
      </w:r>
      <w:r w:rsidRPr="00D412D8">
        <w:rPr>
          <w:rFonts w:ascii="Arial" w:hAnsi="Arial"/>
          <w:sz w:val="22"/>
          <w:szCs w:val="22"/>
        </w:rPr>
        <w:t>k</w:t>
      </w:r>
      <w:r>
        <w:rPr>
          <w:rFonts w:ascii="Arial" w:hAnsi="Arial"/>
          <w:sz w:val="22"/>
          <w:szCs w:val="22"/>
        </w:rPr>
        <w:t>önnen</w:t>
      </w:r>
      <w:r w:rsidRPr="00CA4F42">
        <w:rPr>
          <w:rFonts w:ascii="Arial" w:hAnsi="Arial"/>
          <w:sz w:val="22"/>
          <w:szCs w:val="22"/>
        </w:rPr>
        <w:t xml:space="preserve"> bereits in der Sekundarstufe I die verschiedenen Verwendungen bzw. Aspekte des Variablenbegriffs bewusst gemacht werden. So können </w:t>
      </w:r>
      <w:r>
        <w:rPr>
          <w:rFonts w:ascii="Arial" w:hAnsi="Arial"/>
          <w:sz w:val="22"/>
          <w:szCs w:val="22"/>
        </w:rPr>
        <w:t>z.</w:t>
      </w:r>
      <w:r w:rsidRPr="00A578AF">
        <w:rPr>
          <w:rFonts w:ascii="Arial" w:hAnsi="Arial"/>
          <w:sz w:val="12"/>
          <w:szCs w:val="12"/>
        </w:rPr>
        <w:t> </w:t>
      </w:r>
      <w:r>
        <w:rPr>
          <w:rFonts w:ascii="Arial" w:hAnsi="Arial"/>
          <w:sz w:val="22"/>
          <w:szCs w:val="22"/>
        </w:rPr>
        <w:t>B.</w:t>
      </w:r>
      <w:r w:rsidRPr="00CA4F42">
        <w:rPr>
          <w:rFonts w:ascii="Arial" w:hAnsi="Arial"/>
          <w:sz w:val="22"/>
          <w:szCs w:val="22"/>
        </w:rPr>
        <w:t xml:space="preserve"> zur Frage „Was ist eine Variable?“ verschiedene Aufgaben Verwendung finden, in denen die Variable jeweils eine spezifische Rolle spielt. Einen Mehrwert bietet ein solches Vorgehen, wenn im Laufe der Schulzeit auf die verschiedenen Verwendungsweisen und Aspekte von Variablen rekurriert werden kann. So kann beispielsweise der Unterschied zwischen einer Geraden als geometrisches Objekt und einer Geradengleichung (</w:t>
      </w:r>
      <w:r w:rsidRPr="00CA4F42">
        <w:rPr>
          <w:rFonts w:ascii="Arial" w:hAnsi="Arial"/>
          <w:i/>
          <w:sz w:val="22"/>
          <w:szCs w:val="22"/>
        </w:rPr>
        <w:t>y = mx + b</w:t>
      </w:r>
      <w:r w:rsidRPr="00CA4F42">
        <w:rPr>
          <w:rFonts w:ascii="Arial" w:hAnsi="Arial"/>
          <w:sz w:val="22"/>
          <w:szCs w:val="22"/>
        </w:rPr>
        <w:t>) auf der einen Seite und einer Geraden als Funktionsgraph und einer Funktionsgleichung (</w:t>
      </w:r>
      <w:r w:rsidRPr="00CA4F42">
        <w:rPr>
          <w:rFonts w:ascii="Arial" w:hAnsi="Arial"/>
          <w:i/>
          <w:sz w:val="22"/>
          <w:szCs w:val="22"/>
        </w:rPr>
        <w:t>f(x) = mx + b</w:t>
      </w:r>
      <w:r w:rsidRPr="00CA4F42">
        <w:rPr>
          <w:rFonts w:ascii="Arial" w:hAnsi="Arial"/>
          <w:sz w:val="22"/>
          <w:szCs w:val="22"/>
        </w:rPr>
        <w:t>) auf der anderen Seite anhand der verschiedenen Verwendungsweisen und Aspekte von Variablen verdeutlicht werden. Ebenso kann dieser Gedankengang auch in der analytischen Geometrie wieder aufgegriffen werden, wenn beispielsweise ein Parameter einer Geradengleichung simultan für alle reellen Zahlen steht (Gerade als geometrisches Objekt) oder veränderlich den Bereich der reellen Zahlen durchläuft (Bewegung auf einer Geraden).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224"/>
      </w:tblGrid>
      <w:tr w:rsidR="00C82617" w:rsidRPr="00CA4F42" w:rsidTr="00E73945">
        <w:tc>
          <w:tcPr>
            <w:tcW w:w="9224" w:type="dxa"/>
            <w:shd w:val="clear" w:color="auto" w:fill="auto"/>
          </w:tcPr>
          <w:p w:rsidR="00C82617" w:rsidRPr="00FE6928" w:rsidRDefault="00C82617" w:rsidP="00E73945">
            <w:pPr>
              <w:pStyle w:val="IQB-AnweisungenText"/>
              <w:spacing w:after="60"/>
              <w:rPr>
                <w:rFonts w:ascii="Arial" w:hAnsi="Arial"/>
                <w:sz w:val="22"/>
                <w:szCs w:val="22"/>
              </w:rPr>
            </w:pPr>
            <w:r w:rsidRPr="00FE6928">
              <w:rPr>
                <w:rFonts w:ascii="Arial" w:hAnsi="Arial"/>
                <w:b/>
                <w:sz w:val="22"/>
                <w:szCs w:val="22"/>
              </w:rPr>
              <w:t>Beispiel 1:</w:t>
            </w:r>
            <w:r w:rsidRPr="00FE6928">
              <w:rPr>
                <w:rFonts w:ascii="Arial" w:hAnsi="Arial"/>
                <w:sz w:val="22"/>
                <w:szCs w:val="22"/>
              </w:rPr>
              <w:t xml:space="preserve"> </w:t>
            </w:r>
          </w:p>
          <w:p w:rsidR="00C82617" w:rsidRPr="00FE6928" w:rsidRDefault="00C82617" w:rsidP="00E73945">
            <w:pPr>
              <w:pStyle w:val="IQB-AnweisungenText"/>
              <w:spacing w:after="60"/>
              <w:rPr>
                <w:rFonts w:ascii="Arial" w:hAnsi="Arial"/>
                <w:i/>
                <w:sz w:val="22"/>
                <w:szCs w:val="22"/>
              </w:rPr>
            </w:pPr>
            <w:r w:rsidRPr="00FE6928">
              <w:rPr>
                <w:rFonts w:ascii="Arial" w:hAnsi="Arial"/>
                <w:i/>
                <w:sz w:val="22"/>
                <w:szCs w:val="22"/>
              </w:rPr>
              <w:t xml:space="preserve">g: y = </w:t>
            </w:r>
            <w:r w:rsidRPr="00FE6928">
              <w:rPr>
                <w:rFonts w:ascii="Arial" w:hAnsi="Arial"/>
                <w:sz w:val="22"/>
                <w:szCs w:val="22"/>
              </w:rPr>
              <w:t>2</w:t>
            </w:r>
            <w:r w:rsidRPr="00FE6928">
              <w:rPr>
                <w:rFonts w:ascii="Arial" w:hAnsi="Arial"/>
                <w:i/>
                <w:sz w:val="22"/>
                <w:szCs w:val="22"/>
              </w:rPr>
              <w:t xml:space="preserve">x </w:t>
            </w:r>
            <w:r w:rsidRPr="00FE6928">
              <w:rPr>
                <w:rFonts w:ascii="Arial" w:hAnsi="Arial"/>
                <w:sz w:val="22"/>
                <w:szCs w:val="22"/>
              </w:rPr>
              <w:t>- 4</w:t>
            </w:r>
            <w:r w:rsidRPr="00FE6928">
              <w:rPr>
                <w:rFonts w:ascii="Arial" w:hAnsi="Arial"/>
                <w:i/>
                <w:sz w:val="22"/>
                <w:szCs w:val="22"/>
              </w:rPr>
              <w:t xml:space="preserve"> und f(x) = </w:t>
            </w:r>
            <w:r w:rsidRPr="00FE6928">
              <w:rPr>
                <w:rFonts w:ascii="Arial" w:hAnsi="Arial"/>
                <w:sz w:val="22"/>
                <w:szCs w:val="22"/>
              </w:rPr>
              <w:t>2</w:t>
            </w:r>
            <w:r w:rsidRPr="00FE6928">
              <w:rPr>
                <w:rFonts w:ascii="Arial" w:hAnsi="Arial"/>
                <w:i/>
                <w:sz w:val="22"/>
                <w:szCs w:val="22"/>
              </w:rPr>
              <w:t xml:space="preserve">x </w:t>
            </w:r>
            <w:r w:rsidRPr="00FE6928">
              <w:rPr>
                <w:rFonts w:ascii="Arial" w:hAnsi="Arial"/>
                <w:sz w:val="22"/>
                <w:szCs w:val="22"/>
              </w:rPr>
              <w:t>– 4</w:t>
            </w:r>
          </w:p>
        </w:tc>
      </w:tr>
    </w:tbl>
    <w:p w:rsidR="00C82617" w:rsidRPr="00CA4F42" w:rsidRDefault="00C82617" w:rsidP="00C82617">
      <w:pPr>
        <w:pStyle w:val="IQB-AnweisungenText"/>
        <w:spacing w:after="120"/>
        <w:rPr>
          <w:rFonts w:ascii="Arial" w:hAnsi="Arial"/>
          <w:sz w:val="22"/>
          <w:szCs w:val="22"/>
        </w:rPr>
      </w:pPr>
      <w:r w:rsidRPr="00CA4F42">
        <w:rPr>
          <w:rFonts w:ascii="Arial" w:hAnsi="Arial"/>
          <w:sz w:val="22"/>
          <w:szCs w:val="22"/>
        </w:rPr>
        <w:t xml:space="preserve">Wird eine Gerade als Ganzes betrachtet, wie hier die Gerade </w:t>
      </w:r>
      <w:r w:rsidRPr="00CA4F42">
        <w:rPr>
          <w:rFonts w:ascii="Arial" w:hAnsi="Arial"/>
          <w:i/>
          <w:sz w:val="22"/>
          <w:szCs w:val="22"/>
        </w:rPr>
        <w:t>g</w:t>
      </w:r>
      <w:r w:rsidRPr="00CA4F42">
        <w:rPr>
          <w:rFonts w:ascii="Arial" w:hAnsi="Arial"/>
          <w:sz w:val="22"/>
          <w:szCs w:val="22"/>
        </w:rPr>
        <w:t xml:space="preserve">, so überwiegt der Simultanaspekt der Variable. </w:t>
      </w:r>
      <w:r w:rsidRPr="00CA4F42">
        <w:rPr>
          <w:rFonts w:ascii="Arial" w:hAnsi="Arial"/>
          <w:i/>
          <w:sz w:val="22"/>
          <w:szCs w:val="22"/>
        </w:rPr>
        <w:t>x</w:t>
      </w:r>
      <w:r w:rsidRPr="00CA4F42">
        <w:rPr>
          <w:rFonts w:ascii="Arial" w:hAnsi="Arial"/>
          <w:sz w:val="22"/>
          <w:szCs w:val="22"/>
        </w:rPr>
        <w:t xml:space="preserve"> steht dann für einen ganzen Bereich möglicher Werte. In der Gleichung zur Funktion </w:t>
      </w:r>
      <w:r w:rsidRPr="00CA4F42">
        <w:rPr>
          <w:rFonts w:ascii="Arial" w:hAnsi="Arial"/>
          <w:i/>
          <w:sz w:val="22"/>
          <w:szCs w:val="22"/>
        </w:rPr>
        <w:t>f</w:t>
      </w:r>
      <w:r w:rsidRPr="00CA4F42">
        <w:rPr>
          <w:rFonts w:ascii="Arial" w:hAnsi="Arial"/>
          <w:sz w:val="22"/>
          <w:szCs w:val="22"/>
        </w:rPr>
        <w:t xml:space="preserve"> wird hingegen nicht ein ganzer Bereich möglicher </w:t>
      </w:r>
      <w:r w:rsidRPr="00CA4F42">
        <w:rPr>
          <w:rFonts w:ascii="Arial" w:hAnsi="Arial"/>
          <w:i/>
          <w:sz w:val="22"/>
          <w:szCs w:val="22"/>
        </w:rPr>
        <w:t>x</w:t>
      </w:r>
      <w:r w:rsidRPr="00CA4F42">
        <w:rPr>
          <w:rFonts w:ascii="Arial" w:hAnsi="Arial"/>
          <w:sz w:val="22"/>
          <w:szCs w:val="22"/>
        </w:rPr>
        <w:t xml:space="preserve">-Werte betrachtet; im Vordergrund steht der </w:t>
      </w:r>
      <w:proofErr w:type="spellStart"/>
      <w:r w:rsidRPr="00CA4F42">
        <w:rPr>
          <w:rFonts w:ascii="Arial" w:hAnsi="Arial"/>
          <w:i/>
          <w:sz w:val="22"/>
          <w:szCs w:val="22"/>
        </w:rPr>
        <w:t>Veränderlichenaspekt</w:t>
      </w:r>
      <w:proofErr w:type="spellEnd"/>
      <w:r w:rsidRPr="00CA4F42">
        <w:rPr>
          <w:rFonts w:ascii="Arial" w:hAnsi="Arial"/>
          <w:sz w:val="22"/>
          <w:szCs w:val="22"/>
        </w:rPr>
        <w:t xml:space="preserve"> der Variable.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224"/>
      </w:tblGrid>
      <w:tr w:rsidR="00C82617" w:rsidRPr="00CA4F42" w:rsidTr="00E73945">
        <w:tc>
          <w:tcPr>
            <w:tcW w:w="9224" w:type="dxa"/>
            <w:shd w:val="clear" w:color="auto" w:fill="auto"/>
          </w:tcPr>
          <w:p w:rsidR="00C82617" w:rsidRPr="00FE6928" w:rsidRDefault="00C82617" w:rsidP="00E73945">
            <w:pPr>
              <w:pStyle w:val="IQB-AnweisungenText"/>
              <w:spacing w:after="60"/>
              <w:rPr>
                <w:rFonts w:ascii="Arial" w:hAnsi="Arial"/>
                <w:b/>
                <w:sz w:val="22"/>
                <w:szCs w:val="22"/>
              </w:rPr>
            </w:pPr>
            <w:r w:rsidRPr="00FE6928">
              <w:rPr>
                <w:rFonts w:ascii="Arial" w:hAnsi="Arial"/>
                <w:b/>
                <w:sz w:val="22"/>
                <w:szCs w:val="22"/>
              </w:rPr>
              <w:t xml:space="preserve">Beispiel 2: </w:t>
            </w:r>
          </w:p>
          <w:p w:rsidR="00C82617" w:rsidRPr="00FE6928" w:rsidRDefault="00C82617" w:rsidP="00E73945">
            <w:pPr>
              <w:pStyle w:val="IQB-AnweisungenText"/>
              <w:spacing w:after="60"/>
              <w:rPr>
                <w:rFonts w:ascii="Arial" w:hAnsi="Arial"/>
                <w:sz w:val="22"/>
                <w:szCs w:val="22"/>
              </w:rPr>
            </w:pPr>
            <w:r w:rsidRPr="00FE6928">
              <w:rPr>
                <w:rFonts w:ascii="Arial" w:hAnsi="Arial"/>
                <w:i/>
                <w:sz w:val="22"/>
                <w:szCs w:val="22"/>
              </w:rPr>
              <w:t>f(x)</w:t>
            </w:r>
            <w:r w:rsidRPr="00FE6928">
              <w:rPr>
                <w:rFonts w:ascii="Arial" w:hAnsi="Arial"/>
                <w:sz w:val="22"/>
                <w:szCs w:val="22"/>
              </w:rPr>
              <w:t xml:space="preserve"> = 2</w:t>
            </w:r>
            <w:r w:rsidRPr="00FE6928">
              <w:rPr>
                <w:rFonts w:ascii="Arial" w:hAnsi="Arial"/>
                <w:i/>
                <w:sz w:val="22"/>
                <w:szCs w:val="22"/>
              </w:rPr>
              <w:t>x</w:t>
            </w:r>
            <w:r w:rsidRPr="00FE6928">
              <w:rPr>
                <w:rFonts w:ascii="Arial" w:hAnsi="Arial"/>
                <w:sz w:val="22"/>
                <w:szCs w:val="22"/>
              </w:rPr>
              <w:t xml:space="preserve"> - 4 und 0 = 2</w:t>
            </w:r>
            <w:r w:rsidRPr="00FE6928">
              <w:rPr>
                <w:rFonts w:ascii="Arial" w:hAnsi="Arial"/>
                <w:i/>
                <w:sz w:val="22"/>
                <w:szCs w:val="22"/>
              </w:rPr>
              <w:t>x</w:t>
            </w:r>
            <w:r w:rsidRPr="00FE6928">
              <w:rPr>
                <w:rFonts w:ascii="Arial" w:hAnsi="Arial"/>
                <w:sz w:val="22"/>
                <w:szCs w:val="22"/>
              </w:rPr>
              <w:t xml:space="preserve"> – 4</w:t>
            </w:r>
          </w:p>
        </w:tc>
      </w:tr>
    </w:tbl>
    <w:p w:rsidR="00C82617" w:rsidRPr="00CA4F42" w:rsidRDefault="00C82617" w:rsidP="00C82617">
      <w:pPr>
        <w:pStyle w:val="IQB-AnweisungenText"/>
        <w:rPr>
          <w:rFonts w:ascii="Arial" w:hAnsi="Arial"/>
          <w:sz w:val="22"/>
          <w:szCs w:val="22"/>
        </w:rPr>
      </w:pPr>
      <w:r w:rsidRPr="00CA4F42">
        <w:rPr>
          <w:rFonts w:ascii="Arial" w:hAnsi="Arial"/>
          <w:sz w:val="22"/>
          <w:szCs w:val="22"/>
        </w:rPr>
        <w:t xml:space="preserve">Wird nach einem bestimmten </w:t>
      </w:r>
      <w:r w:rsidRPr="00CA4F42">
        <w:rPr>
          <w:rFonts w:ascii="Arial" w:hAnsi="Arial"/>
          <w:i/>
          <w:sz w:val="22"/>
          <w:szCs w:val="22"/>
        </w:rPr>
        <w:t>x</w:t>
      </w:r>
      <w:r w:rsidRPr="00CA4F42">
        <w:rPr>
          <w:rFonts w:ascii="Arial" w:hAnsi="Arial"/>
          <w:sz w:val="22"/>
          <w:szCs w:val="22"/>
        </w:rPr>
        <w:t xml:space="preserve">-Wert gefragt, wie in diesem Beispiel nach der Nullstelle, so verschiebt sich der Fokus vom Bereichszahlaspekt auf den Einzelzahlaspekt. Nun kann </w:t>
      </w:r>
      <w:r w:rsidRPr="00CA4F42">
        <w:rPr>
          <w:rFonts w:ascii="Arial" w:hAnsi="Arial"/>
          <w:i/>
          <w:sz w:val="22"/>
          <w:szCs w:val="22"/>
        </w:rPr>
        <w:t>x</w:t>
      </w:r>
      <w:r w:rsidRPr="00CA4F42">
        <w:rPr>
          <w:rFonts w:ascii="Arial" w:hAnsi="Arial"/>
          <w:sz w:val="22"/>
          <w:szCs w:val="22"/>
        </w:rPr>
        <w:t xml:space="preserve"> nicht mehr für ganz verschiedene Zahlen stehen, sondern steht stellvertretend für eine einzige Zahl.</w:t>
      </w:r>
    </w:p>
    <w:p w:rsidR="00694A63" w:rsidRPr="005B2F65" w:rsidRDefault="00694A63" w:rsidP="00C82617">
      <w:pPr>
        <w:pStyle w:val="IQB-AnweisungenText"/>
        <w:spacing w:before="0"/>
        <w:rPr>
          <w:sz w:val="22"/>
          <w:szCs w:val="22"/>
        </w:rPr>
      </w:pPr>
      <w:bookmarkStart w:id="0" w:name="_GoBack"/>
      <w:bookmarkEnd w:id="0"/>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573CA396-7DB6-4578-B1EB-DA80551850F7}"/>
    <w:embedBold r:id="rId2" w:fontKey="{FE12E30A-AC47-4E85-98BB-90314B157763}"/>
    <w:embedItalic r:id="rId3" w:fontKey="{B172082E-460D-4949-9D50-3E6DD1BD230D}"/>
    <w:embedBoldItalic r:id="rId4" w:fontKey="{CDA0BD8A-E1AA-4F1E-9F4E-DAE894085787}"/>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 w:id="1">
    <w:p w:rsidR="00C82617" w:rsidRPr="00A84E7D" w:rsidRDefault="00C82617" w:rsidP="00C82617">
      <w:pPr>
        <w:pStyle w:val="Funote"/>
        <w:rPr>
          <w:sz w:val="20"/>
          <w:szCs w:val="20"/>
        </w:rPr>
      </w:pPr>
      <w:r w:rsidRPr="00A84E7D">
        <w:rPr>
          <w:rStyle w:val="Funotenzeichen"/>
          <w:sz w:val="20"/>
          <w:szCs w:val="20"/>
        </w:rPr>
        <w:footnoteRef/>
      </w:r>
      <w:r w:rsidRPr="00A84E7D">
        <w:rPr>
          <w:sz w:val="20"/>
          <w:szCs w:val="20"/>
        </w:rPr>
        <w:t xml:space="preserve"> Freudenthal, Hans (1973): Mathematik als pädagogische Aufgabe, Band 1. Stuttgart: Klett, S. 256ff</w:t>
      </w:r>
    </w:p>
  </w:footnote>
  <w:footnote w:id="2">
    <w:p w:rsidR="00C82617" w:rsidRPr="00A84E7D" w:rsidRDefault="00C82617" w:rsidP="00C82617">
      <w:pPr>
        <w:pStyle w:val="Funotentext"/>
      </w:pPr>
      <w:r w:rsidRPr="00A84E7D">
        <w:rPr>
          <w:rStyle w:val="Funotenzeichen"/>
        </w:rPr>
        <w:footnoteRef/>
      </w:r>
      <w:r w:rsidRPr="00A84E7D">
        <w:t xml:space="preserve"> Malle, Gunter (1993): Didaktische Probleme der elementaren Algebra. Braunschweig: Vi</w:t>
      </w:r>
      <w:r w:rsidRPr="00A84E7D">
        <w:t>e</w:t>
      </w:r>
      <w:r w:rsidRPr="00A84E7D">
        <w:t>weg, S. 80</w:t>
      </w:r>
    </w:p>
    <w:p w:rsidR="00C82617" w:rsidRDefault="00C82617" w:rsidP="00C82617">
      <w:pPr>
        <w:pStyle w:val="Funot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8C550E"/>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82617"/>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character" w:styleId="Funotenzeichen">
    <w:name w:val="footnote reference"/>
    <w:rsid w:val="008C550E"/>
    <w:rPr>
      <w:vertAlign w:val="superscript"/>
    </w:rPr>
  </w:style>
  <w:style w:type="character" w:customStyle="1" w:styleId="Funotenanker">
    <w:name w:val="Fußnotenanker"/>
    <w:rsid w:val="008C550E"/>
    <w:rPr>
      <w:vertAlign w:val="superscript"/>
    </w:rPr>
  </w:style>
  <w:style w:type="paragraph" w:customStyle="1" w:styleId="Funote">
    <w:name w:val="Fußnote"/>
    <w:basedOn w:val="Standard"/>
    <w:rsid w:val="008C550E"/>
    <w:pPr>
      <w:suppressAutoHyphens/>
    </w:pPr>
    <w:rPr>
      <w:rFonts w:ascii="Arial" w:hAnsi="Arial"/>
      <w:sz w:val="18"/>
    </w:rPr>
  </w:style>
  <w:style w:type="paragraph" w:styleId="Funotentext">
    <w:name w:val="footnote text"/>
    <w:basedOn w:val="Standard"/>
    <w:link w:val="FunotentextZchn"/>
    <w:rsid w:val="00C82617"/>
    <w:rPr>
      <w:rFonts w:ascii="Arial" w:hAnsi="Arial"/>
      <w:sz w:val="20"/>
      <w:szCs w:val="20"/>
      <w:lang w:val="x-none" w:eastAsia="x-none"/>
    </w:rPr>
  </w:style>
  <w:style w:type="character" w:customStyle="1" w:styleId="FunotentextZchn">
    <w:name w:val="Fußnotentext Zchn"/>
    <w:basedOn w:val="Absatz-Standardschriftart"/>
    <w:link w:val="Funotentext"/>
    <w:rsid w:val="00C82617"/>
    <w:rPr>
      <w:rFonts w:ascii="Arial" w:hAnsi="Arial"/>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747D00-ADE1-42E0-94A5-5411CBA39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676</Words>
  <Characters>4245</Characters>
  <Application>Microsoft Office Word</Application>
  <DocSecurity>0</DocSecurity>
  <Lines>141</Lines>
  <Paragraphs>100</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2025-07-21T07:20:00Z</dcterms:created>
  <dcterms:modified xsi:type="dcterms:W3CDTF">2025-07-21T07:20:00Z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